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sz w:val="21"/>
          <w:szCs w:val="21"/>
        </w:rPr>
      </w:pPr>
      <w:r>
        <w:rPr>
          <w:sz w:val="21"/>
          <w:szCs w:val="21"/>
          <w:u w:val="single"/>
          <w:rtl w:val="0"/>
          <w:lang w:val="en-US"/>
        </w:rPr>
        <w:t>~ The Collect of the Day</w:t>
      </w:r>
    </w:p>
    <w:p>
      <w:pPr>
        <w:pStyle w:val="Body"/>
        <w:jc w:val="both"/>
        <w:rPr>
          <w:sz w:val="21"/>
          <w:szCs w:val="21"/>
        </w:rPr>
      </w:pPr>
      <w:r>
        <w:rPr>
          <w:sz w:val="21"/>
          <w:szCs w:val="21"/>
          <w:rtl w:val="0"/>
          <w:lang w:val="en-US"/>
        </w:rPr>
        <w:t>The Lord be with you.</w:t>
        <w:tab/>
        <w:tab/>
      </w:r>
      <w:r>
        <w:rPr>
          <w:b w:val="1"/>
          <w:bCs w:val="1"/>
          <w:sz w:val="21"/>
          <w:szCs w:val="21"/>
          <w:rtl w:val="0"/>
          <w:lang w:val="en-US"/>
        </w:rPr>
        <w:t>And also with you.</w:t>
      </w:r>
      <w:r>
        <w:rPr>
          <w:sz w:val="21"/>
          <w:szCs w:val="21"/>
        </w:rPr>
        <w:tab/>
        <w:tab/>
      </w:r>
    </w:p>
    <w:p>
      <w:pPr>
        <w:pStyle w:val="Body"/>
        <w:jc w:val="both"/>
        <w:rPr>
          <w:sz w:val="21"/>
          <w:szCs w:val="21"/>
        </w:rPr>
      </w:pPr>
      <w:r>
        <w:rPr>
          <w:sz w:val="21"/>
          <w:szCs w:val="21"/>
          <w:rtl w:val="0"/>
          <w:lang w:val="en-US"/>
        </w:rPr>
        <w:t>Let us pray.</w:t>
      </w:r>
    </w:p>
    <w:p>
      <w:pPr>
        <w:pStyle w:val="Body"/>
        <w:jc w:val="both"/>
        <w:rPr>
          <w:rFonts w:ascii="Times" w:cs="Times" w:hAnsi="Times" w:eastAsia="Times"/>
          <w:sz w:val="20"/>
          <w:szCs w:val="20"/>
        </w:rPr>
      </w:pPr>
      <w:r>
        <w:rPr>
          <w:outline w:val="0"/>
          <w:color w:val="000000"/>
          <w:sz w:val="21"/>
          <w:szCs w:val="21"/>
          <w:u w:color="000000"/>
          <w:rtl w:val="0"/>
          <w14:textFill>
            <w14:solidFill>
              <w14:srgbClr w14:val="000000"/>
            </w14:solidFill>
          </w14:textFill>
        </w:rPr>
        <w:t>O</w:t>
      </w:r>
      <w:r>
        <w:rPr>
          <w:outline w:val="0"/>
          <w:color w:val="000000"/>
          <w:sz w:val="21"/>
          <w:szCs w:val="21"/>
          <w:u w:color="000000"/>
          <w:rtl w:val="0"/>
          <w14:textFill>
            <w14:solidFill>
              <w14:srgbClr w14:val="000000"/>
            </w14:solidFill>
          </w14:textFill>
        </w:rPr>
        <w:t> </w:t>
      </w:r>
      <w:r>
        <w:rPr>
          <w:outline w:val="0"/>
          <w:color w:val="000000"/>
          <w:sz w:val="21"/>
          <w:szCs w:val="21"/>
          <w:u w:color="000000"/>
          <w:rtl w:val="0"/>
          <w:lang w:val="en-US"/>
          <w14:textFill>
            <w14:solidFill>
              <w14:srgbClr w14:val="000000"/>
            </w14:solidFill>
          </w14:textFill>
        </w:rPr>
        <w:t>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Pr>
          <w:rFonts w:ascii="Times" w:hAnsi="Times"/>
          <w:sz w:val="21"/>
          <w:szCs w:val="21"/>
          <w:rtl w:val="0"/>
        </w:rPr>
        <w:t xml:space="preserve"> </w:t>
      </w:r>
      <w:r>
        <w:rPr>
          <w:b w:val="1"/>
          <w:bCs w:val="1"/>
          <w:i w:val="1"/>
          <w:iCs w:val="1"/>
          <w:sz w:val="21"/>
          <w:szCs w:val="21"/>
          <w:rtl w:val="0"/>
          <w:lang w:val="en-US"/>
        </w:rPr>
        <w:t>Amen</w:t>
      </w:r>
      <w:r>
        <w:rPr>
          <w:i w:val="1"/>
          <w:iCs w:val="1"/>
          <w:sz w:val="21"/>
          <w:szCs w:val="21"/>
          <w:rtl w:val="0"/>
        </w:rPr>
        <w:t>.</w:t>
      </w:r>
    </w:p>
    <w:p>
      <w:pPr>
        <w:pStyle w:val="Body"/>
        <w:jc w:val="both"/>
        <w:rPr>
          <w:rStyle w:val="initcap"/>
          <w:sz w:val="21"/>
          <w:szCs w:val="21"/>
        </w:rPr>
      </w:pPr>
    </w:p>
    <w:p>
      <w:pPr>
        <w:pStyle w:val="Body"/>
        <w:jc w:val="both"/>
        <w:rPr>
          <w:b w:val="1"/>
          <w:bCs w:val="1"/>
          <w:sz w:val="21"/>
          <w:szCs w:val="21"/>
        </w:rPr>
      </w:pPr>
      <w:r>
        <w:rPr>
          <w:sz w:val="21"/>
          <w:szCs w:val="21"/>
          <w:u w:val="single"/>
          <w:rtl w:val="0"/>
          <w:lang w:val="en-US"/>
        </w:rPr>
        <w:t>~ The First Lesson</w:t>
      </w:r>
      <w:r>
        <w:rPr>
          <w:sz w:val="21"/>
          <w:szCs w:val="21"/>
          <w:rtl w:val="0"/>
        </w:rPr>
        <w:t xml:space="preserve">  </w:t>
        <w:tab/>
      </w:r>
      <w:r>
        <w:rPr>
          <w:b w:val="1"/>
          <w:bCs w:val="1"/>
          <w:sz w:val="21"/>
          <w:szCs w:val="21"/>
          <w:rtl w:val="0"/>
        </w:rPr>
        <w:t>Jeremiah 32:1-3a, 6-15</w:t>
      </w:r>
    </w:p>
    <w:p>
      <w:pPr>
        <w:pStyle w:val="Body"/>
        <w:spacing w:before="45" w:after="100"/>
        <w:jc w:val="both"/>
        <w:rPr>
          <w:outline w:val="0"/>
          <w:color w:val="000000"/>
          <w:sz w:val="20"/>
          <w:szCs w:val="20"/>
          <w:u w:color="000000"/>
          <w14:textFill>
            <w14:solidFill>
              <w14:srgbClr w14:val="000000"/>
            </w14:solidFill>
          </w14:textFill>
        </w:rPr>
      </w:pPr>
      <w:r>
        <w:rPr>
          <w:outline w:val="0"/>
          <w:color w:val="000000"/>
          <w:u w:color="000000"/>
          <w:rtl w:val="0"/>
          <w14:textFill>
            <w14:solidFill>
              <w14:srgbClr w14:val="000000"/>
            </w14:solidFill>
          </w14:textFill>
        </w:rPr>
        <w:t>T</w:t>
      </w:r>
      <w:r>
        <w:rPr>
          <w:outline w:val="0"/>
          <w:color w:val="000000"/>
          <w:sz w:val="20"/>
          <w:szCs w:val="20"/>
          <w:u w:color="000000"/>
          <w:rtl w:val="0"/>
          <w:lang w:val="en-US"/>
          <w14:textFill>
            <w14:solidFill>
              <w14:srgbClr w14:val="000000"/>
            </w14:solidFill>
          </w14:textFill>
        </w:rPr>
        <w:t>he word that came to Jeremiah from the</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it-IT"/>
          <w14:textFill>
            <w14:solidFill>
              <w14:srgbClr w14:val="000000"/>
            </w14:solidFill>
          </w14:textFill>
        </w:rPr>
        <w:t>Lord</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en-US"/>
          <w14:textFill>
            <w14:solidFill>
              <w14:srgbClr w14:val="000000"/>
            </w14:solidFill>
          </w14:textFill>
        </w:rPr>
        <w:t>in the tenth year of King Zedekiah of Judah, which was the eighteenth year of Nebuchadrezzar. At that time the army of the king of Babylon was besieging Jerusalem, and the prophet Jeremiah was confined in the court of the guard that was in the palace of the king of Judah, where King Zedekiah of Judah had confined him.</w:t>
      </w:r>
    </w:p>
    <w:p>
      <w:pPr>
        <w:pStyle w:val="Body"/>
        <w:spacing w:before="45" w:after="100"/>
        <w:jc w:val="both"/>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Jeremiah said, The word of the</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it-IT"/>
          <w14:textFill>
            <w14:solidFill>
              <w14:srgbClr w14:val="000000"/>
            </w14:solidFill>
          </w14:textFill>
        </w:rPr>
        <w:t>Lord</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en-US"/>
          <w14:textFill>
            <w14:solidFill>
              <w14:srgbClr w14:val="000000"/>
            </w14:solidFill>
          </w14:textFill>
        </w:rPr>
        <w:t>came to me: Hanamel son of your uncle Shallum is going to come to you and say, "Buy my field that is at Anathoth, for the right of redemption by purchase is yours." Then my cousin Hanamel came to me in the court of the guard, in accordance with the word of the</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en-US"/>
          <w14:textFill>
            <w14:solidFill>
              <w14:srgbClr w14:val="000000"/>
            </w14:solidFill>
          </w14:textFill>
        </w:rPr>
        <w:t>Lord, and said to me, "Buy my field that is at Anathoth in the land of Benjamin, for the right of possession and redemption is yours; buy it for yourself." Then I knew that this was the word of the</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it-IT"/>
          <w14:textFill>
            <w14:solidFill>
              <w14:srgbClr w14:val="000000"/>
            </w14:solidFill>
          </w14:textFill>
        </w:rPr>
        <w:t>Lord.</w:t>
      </w:r>
    </w:p>
    <w:p>
      <w:pPr>
        <w:pStyle w:val="Body"/>
        <w:spacing w:before="45" w:after="100"/>
        <w:jc w:val="both"/>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And I bought the field at Anathoth from my cousin Hanamel,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Mahseiah, in the presence of my cousin Hanamel, in the presence of the witnesses who signed the deed of purchase, and in the presence of all the Judeans who were sitting in the court of the guard. In their presence I charged Baruch, saying, Thus says the</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it-IT"/>
          <w14:textFill>
            <w14:solidFill>
              <w14:srgbClr w14:val="000000"/>
            </w14:solidFill>
          </w14:textFill>
        </w:rPr>
        <w:t>Lord</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en-US"/>
          <w14:textFill>
            <w14:solidFill>
              <w14:srgbClr w14:val="000000"/>
            </w14:solidFill>
          </w14:textFill>
        </w:rPr>
        <w:t>of hosts, the God of Israel: Take these deeds, both this sealed deed of purchase and this open deed, and put them in an earthenware jar, in order that they may last for a long time. For thus says the</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it-IT"/>
          <w14:textFill>
            <w14:solidFill>
              <w14:srgbClr w14:val="000000"/>
            </w14:solidFill>
          </w14:textFill>
        </w:rPr>
        <w:t>Lord</w:t>
      </w:r>
      <w:r>
        <w:rPr>
          <w:outline w:val="0"/>
          <w:color w:val="000000"/>
          <w:sz w:val="20"/>
          <w:szCs w:val="20"/>
          <w:u w:color="000000"/>
          <w:rtl w:val="0"/>
          <w14:textFill>
            <w14:solidFill>
              <w14:srgbClr w14:val="000000"/>
            </w14:solidFill>
          </w14:textFill>
        </w:rPr>
        <w:t> </w:t>
      </w:r>
      <w:r>
        <w:rPr>
          <w:outline w:val="0"/>
          <w:color w:val="000000"/>
          <w:sz w:val="20"/>
          <w:szCs w:val="20"/>
          <w:u w:color="000000"/>
          <w:rtl w:val="0"/>
          <w:lang w:val="en-US"/>
          <w14:textFill>
            <w14:solidFill>
              <w14:srgbClr w14:val="000000"/>
            </w14:solidFill>
          </w14:textFill>
        </w:rPr>
        <w:t>of hosts, the God of Israel: Houses and fields and vineyards shall again be bought in this land.</w:t>
      </w:r>
    </w:p>
    <w:p>
      <w:pPr>
        <w:pStyle w:val="Body"/>
        <w:jc w:val="both"/>
        <w:rPr>
          <w:b w:val="1"/>
          <w:bCs w:val="1"/>
          <w:sz w:val="21"/>
          <w:szCs w:val="21"/>
        </w:rPr>
      </w:pPr>
      <w:r>
        <w:rPr>
          <w:sz w:val="21"/>
          <w:szCs w:val="21"/>
          <w:rtl w:val="0"/>
          <w:lang w:val="en-US"/>
        </w:rPr>
        <w:t xml:space="preserve">The word of the Lord.    </w:t>
      </w:r>
      <w:r>
        <w:rPr>
          <w:b w:val="1"/>
          <w:bCs w:val="1"/>
          <w:sz w:val="21"/>
          <w:szCs w:val="21"/>
          <w:rtl w:val="0"/>
          <w:lang w:val="en-US"/>
        </w:rPr>
        <w:t>Thanks be to God.</w:t>
      </w:r>
    </w:p>
    <w:p>
      <w:pPr>
        <w:pStyle w:val="Body"/>
        <w:jc w:val="both"/>
        <w:rPr>
          <w:sz w:val="21"/>
          <w:szCs w:val="21"/>
          <w:u w:val="single"/>
        </w:rPr>
      </w:pPr>
    </w:p>
    <w:p>
      <w:pPr>
        <w:pStyle w:val="Body"/>
        <w:jc w:val="both"/>
        <w:rPr>
          <w:b w:val="1"/>
          <w:bCs w:val="1"/>
          <w:sz w:val="21"/>
          <w:szCs w:val="21"/>
        </w:rPr>
      </w:pPr>
      <w:r>
        <w:rPr>
          <w:sz w:val="21"/>
          <w:szCs w:val="21"/>
          <w:u w:val="single"/>
          <w:rtl w:val="0"/>
          <w:lang w:val="en-US"/>
        </w:rPr>
        <w:t>~ The Second Lesson</w:t>
      </w:r>
      <w:r>
        <w:rPr>
          <w:sz w:val="21"/>
          <w:szCs w:val="21"/>
          <w:rtl w:val="0"/>
        </w:rPr>
        <w:t xml:space="preserve">   </w:t>
      </w:r>
      <w:r>
        <w:rPr>
          <w:b w:val="1"/>
          <w:bCs w:val="1"/>
          <w:sz w:val="21"/>
          <w:szCs w:val="21"/>
          <w:rtl w:val="0"/>
          <w:lang w:val="en-US"/>
        </w:rPr>
        <w:t>1 Timothy 6:6-19</w:t>
      </w:r>
    </w:p>
    <w:p>
      <w:pPr>
        <w:pStyle w:val="lessontext"/>
        <w:spacing w:before="45"/>
        <w:jc w:val="both"/>
        <w:rPr>
          <w:rFonts w:ascii="Times New Roman" w:cs="Times New Roman" w:hAnsi="Times New Roman" w:eastAsia="Times New Roman"/>
          <w:outline w:val="0"/>
          <w:color w:val="000000"/>
          <w:sz w:val="21"/>
          <w:szCs w:val="21"/>
          <w:u w:color="000000"/>
          <w14:textFill>
            <w14:solidFill>
              <w14:srgbClr w14:val="000000"/>
            </w14:solidFill>
          </w14:textFill>
        </w:rPr>
      </w:pPr>
      <w:r>
        <w:rPr>
          <w:rFonts w:ascii="Times New Roman" w:hAnsi="Times New Roman"/>
          <w:outline w:val="0"/>
          <w:color w:val="000000"/>
          <w:sz w:val="21"/>
          <w:szCs w:val="21"/>
          <w:u w:color="000000"/>
          <w:rtl w:val="0"/>
          <w:lang w:val="en-US"/>
          <w14:textFill>
            <w14:solidFill>
              <w14:srgbClr w14:val="000000"/>
            </w14:solidFill>
          </w14:textFill>
        </w:rPr>
        <w:t>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pPr>
        <w:pStyle w:val="lessontext"/>
        <w:spacing w:before="45"/>
        <w:jc w:val="both"/>
        <w:rPr>
          <w:rFonts w:ascii="Times New Roman" w:cs="Times New Roman" w:hAnsi="Times New Roman" w:eastAsia="Times New Roman"/>
          <w:outline w:val="0"/>
          <w:color w:val="000000"/>
          <w:sz w:val="21"/>
          <w:szCs w:val="21"/>
          <w:u w:color="000000"/>
          <w14:textFill>
            <w14:solidFill>
              <w14:srgbClr w14:val="000000"/>
            </w14:solidFill>
          </w14:textFill>
        </w:rPr>
      </w:pPr>
      <w:r>
        <w:rPr>
          <w:rFonts w:ascii="Times New Roman" w:hAnsi="Times New Roman"/>
          <w:outline w:val="0"/>
          <w:color w:val="000000"/>
          <w:sz w:val="21"/>
          <w:szCs w:val="21"/>
          <w:u w:color="000000"/>
          <w:rtl w:val="0"/>
          <w:lang w:val="en-US"/>
          <w14:textFill>
            <w14:solidFill>
              <w14:srgbClr w14:val="000000"/>
            </w14:solidFill>
          </w14:textFill>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honor and eternal dominion. Amen.</w:t>
      </w:r>
    </w:p>
    <w:p>
      <w:pPr>
        <w:pStyle w:val="lessontext"/>
        <w:spacing w:before="45"/>
        <w:jc w:val="both"/>
        <w:rPr>
          <w:rFonts w:ascii="Times New Roman" w:cs="Times New Roman" w:hAnsi="Times New Roman" w:eastAsia="Times New Roman"/>
          <w:outline w:val="0"/>
          <w:color w:val="000000"/>
          <w:sz w:val="21"/>
          <w:szCs w:val="21"/>
          <w:u w:color="000000"/>
          <w14:textFill>
            <w14:solidFill>
              <w14:srgbClr w14:val="000000"/>
            </w14:solidFill>
          </w14:textFill>
        </w:rPr>
      </w:pPr>
      <w:r>
        <w:rPr>
          <w:rFonts w:ascii="Times New Roman" w:hAnsi="Times New Roman"/>
          <w:outline w:val="0"/>
          <w:color w:val="000000"/>
          <w:sz w:val="21"/>
          <w:szCs w:val="21"/>
          <w:u w:color="000000"/>
          <w:rtl w:val="0"/>
          <w:lang w:val="en-US"/>
          <w14:textFill>
            <w14:solidFill>
              <w14:srgbClr w14:val="000000"/>
            </w14:solidFill>
          </w14:textFill>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pPr>
        <w:pStyle w:val="Body"/>
        <w:jc w:val="both"/>
        <w:rPr>
          <w:b w:val="1"/>
          <w:bCs w:val="1"/>
          <w:sz w:val="21"/>
          <w:szCs w:val="21"/>
        </w:rPr>
      </w:pPr>
      <w:r>
        <w:rPr>
          <w:sz w:val="21"/>
          <w:szCs w:val="21"/>
          <w:rtl w:val="0"/>
          <w:lang w:val="en-US"/>
        </w:rPr>
        <w:t xml:space="preserve"> The word of the Lord.    </w:t>
      </w:r>
      <w:r>
        <w:rPr>
          <w:b w:val="1"/>
          <w:bCs w:val="1"/>
          <w:sz w:val="21"/>
          <w:szCs w:val="21"/>
          <w:rtl w:val="0"/>
          <w:lang w:val="en-US"/>
        </w:rPr>
        <w:t>Thanks be to God.</w:t>
      </w:r>
    </w:p>
    <w:p>
      <w:pPr>
        <w:pStyle w:val="Body"/>
        <w:jc w:val="both"/>
        <w:rPr>
          <w:sz w:val="21"/>
          <w:szCs w:val="21"/>
          <w:u w:val="single"/>
        </w:rPr>
      </w:pPr>
    </w:p>
    <w:p>
      <w:pPr>
        <w:pStyle w:val="Body"/>
        <w:jc w:val="both"/>
        <w:rPr>
          <w:b w:val="1"/>
          <w:bCs w:val="1"/>
          <w:i w:val="1"/>
          <w:iCs w:val="1"/>
          <w:sz w:val="21"/>
          <w:szCs w:val="21"/>
        </w:rPr>
      </w:pPr>
      <w:r>
        <w:rPr>
          <w:sz w:val="21"/>
          <w:szCs w:val="21"/>
          <w:u w:val="single"/>
          <w:rtl w:val="0"/>
          <w:lang w:val="en-US"/>
        </w:rPr>
        <w:t>~ The Gospel</w:t>
      </w:r>
      <w:r>
        <w:rPr>
          <w:sz w:val="21"/>
          <w:szCs w:val="21"/>
        </w:rPr>
        <w:tab/>
      </w:r>
      <w:r>
        <w:rPr>
          <w:b w:val="1"/>
          <w:bCs w:val="1"/>
          <w:sz w:val="21"/>
          <w:szCs w:val="21"/>
          <w:rtl w:val="0"/>
        </w:rPr>
        <w:t>Luke 16:19-31</w:t>
      </w:r>
    </w:p>
    <w:p>
      <w:pPr>
        <w:pStyle w:val="Body"/>
        <w:widowControl w:val="0"/>
        <w:jc w:val="both"/>
        <w:rPr>
          <w:sz w:val="21"/>
          <w:szCs w:val="21"/>
        </w:rPr>
      </w:pPr>
      <w:r>
        <w:rPr>
          <w:sz w:val="21"/>
          <w:szCs w:val="21"/>
          <w:rtl w:val="0"/>
          <w:lang w:val="en-US"/>
        </w:rPr>
        <w:t xml:space="preserve">The Holy Gospel of our Lord Jesus Christ, according to Luke. </w:t>
      </w:r>
    </w:p>
    <w:p>
      <w:pPr>
        <w:pStyle w:val="Body"/>
        <w:widowControl w:val="0"/>
        <w:jc w:val="both"/>
        <w:rPr>
          <w:sz w:val="21"/>
          <w:szCs w:val="21"/>
        </w:rPr>
      </w:pPr>
      <w:r>
        <w:rPr>
          <w:b w:val="1"/>
          <w:bCs w:val="1"/>
          <w:i w:val="1"/>
          <w:iCs w:val="1"/>
          <w:sz w:val="21"/>
          <w:szCs w:val="21"/>
          <w:rtl w:val="0"/>
          <w:lang w:val="en-US"/>
        </w:rPr>
        <w:t>Glory to you, Lord Christ</w:t>
      </w:r>
      <w:r>
        <w:rPr>
          <w:sz w:val="21"/>
          <w:szCs w:val="21"/>
          <w:rtl w:val="0"/>
        </w:rPr>
        <w:t xml:space="preserve"> </w:t>
      </w:r>
    </w:p>
    <w:p>
      <w:pPr>
        <w:pStyle w:val="Body"/>
        <w:jc w:val="both"/>
        <w:rPr>
          <w:outline w:val="0"/>
          <w:color w:val="000000"/>
          <w:sz w:val="21"/>
          <w:szCs w:val="21"/>
          <w:u w:color="000000"/>
          <w14:textFill>
            <w14:solidFill>
              <w14:srgbClr w14:val="000000"/>
            </w14:solidFill>
          </w14:textFill>
        </w:rPr>
      </w:pPr>
      <w:r>
        <w:rPr>
          <w:outline w:val="0"/>
          <w:color w:val="000000"/>
          <w:sz w:val="21"/>
          <w:szCs w:val="21"/>
          <w:u w:color="000000"/>
          <w:rtl w:val="0"/>
          <w:lang w:val="en-US"/>
          <w14:textFill>
            <w14:solidFill>
              <w14:srgbClr w14:val="000000"/>
            </w14:solidFill>
          </w14:textFill>
        </w:rPr>
        <w:t>Jesus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 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
    <w:p>
      <w:pPr>
        <w:pStyle w:val="Body"/>
        <w:jc w:val="both"/>
        <w:rPr>
          <w:rStyle w:val="initcap"/>
          <w:sz w:val="21"/>
          <w:szCs w:val="21"/>
        </w:rPr>
      </w:pPr>
    </w:p>
    <w:p>
      <w:pPr>
        <w:pStyle w:val="Body"/>
        <w:jc w:val="both"/>
        <w:rPr>
          <w:b w:val="1"/>
          <w:bCs w:val="1"/>
          <w:outline w:val="0"/>
          <w:color w:val="000000"/>
          <w:sz w:val="21"/>
          <w:szCs w:val="21"/>
          <w:u w:color="000000"/>
          <w14:textFill>
            <w14:solidFill>
              <w14:srgbClr w14:val="000000"/>
            </w14:solidFill>
          </w14:textFill>
        </w:rPr>
      </w:pPr>
      <w:r>
        <w:rPr>
          <w:outline w:val="0"/>
          <w:color w:val="000000"/>
          <w:sz w:val="21"/>
          <w:szCs w:val="21"/>
          <w:u w:color="000000"/>
          <w:rtl w:val="0"/>
          <w14:textFill>
            <w14:solidFill>
              <w14:srgbClr w14:val="000000"/>
            </w14:solidFill>
          </w14:textFill>
        </w:rPr>
        <w:t xml:space="preserve"> “</w:t>
      </w:r>
      <w:r>
        <w:rPr>
          <w:outline w:val="0"/>
          <w:color w:val="000000"/>
          <w:sz w:val="21"/>
          <w:szCs w:val="21"/>
          <w:u w:color="000000"/>
          <w:rtl w:val="0"/>
          <w:lang w:val="en-US"/>
          <w14:textFill>
            <w14:solidFill>
              <w14:srgbClr w14:val="000000"/>
            </w14:solidFill>
          </w14:textFill>
        </w:rPr>
        <w:t xml:space="preserve">The Gospel of the Lord. </w:t>
      </w:r>
      <w:r>
        <w:rPr>
          <w:b w:val="1"/>
          <w:bCs w:val="1"/>
          <w:outline w:val="0"/>
          <w:color w:val="000000"/>
          <w:sz w:val="21"/>
          <w:szCs w:val="21"/>
          <w:u w:color="000000"/>
          <w:rtl w:val="0"/>
          <w:lang w:val="en-US"/>
          <w14:textFill>
            <w14:solidFill>
              <w14:srgbClr w14:val="000000"/>
            </w14:solidFill>
          </w14:textFill>
        </w:rPr>
        <w:t>Praise to you, Lord Christ</w:t>
      </w:r>
    </w:p>
    <w:p>
      <w:pPr>
        <w:pStyle w:val="Body"/>
      </w:pPr>
      <w:r>
        <w:rPr>
          <w:rStyle w:val="initcap"/>
          <w:sz w:val="19"/>
          <w:szCs w:val="19"/>
        </w:rPr>
      </w:r>
    </w:p>
    <w:sectPr>
      <w:headerReference w:type="default" r:id="rId4"/>
      <w:footerReference w:type="default" r:id="rId5"/>
      <w:pgSz w:w="7920" w:h="12240" w:orient="portrait"/>
      <w:pgMar w:top="360" w:right="1800" w:bottom="2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initcap">
    <w:name w:val="initcap"/>
  </w:style>
  <w:style w:type="paragraph" w:styleId="lessontext">
    <w:name w:val="lessontext"/>
    <w:next w:val="lesso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